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75776" w:rsidRPr="00975776">
        <w:rPr>
          <w:rFonts w:ascii="PT Astra Serif" w:hAnsi="PT Astra Serif"/>
          <w:color w:val="000099"/>
          <w:sz w:val="28"/>
          <w:szCs w:val="28"/>
        </w:rPr>
        <w:t>24 38622002368862201001 0227 001 0000 244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D84DEE" w:rsidRPr="00D84DEE">
        <w:rPr>
          <w:rFonts w:ascii="PT Astra Serif" w:hAnsi="PT Astra Serif"/>
          <w:color w:val="000099"/>
          <w:szCs w:val="24"/>
        </w:rPr>
        <w:t>по химической чистке ковров и ковровых изделий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8540C2">
        <w:rPr>
          <w:rFonts w:ascii="PT Astra Serif" w:hAnsi="PT Astra Serif"/>
          <w:color w:val="000099"/>
          <w:szCs w:val="24"/>
        </w:rPr>
        <w:t xml:space="preserve">Бюджет города </w:t>
      </w:r>
      <w:proofErr w:type="spellStart"/>
      <w:r w:rsidR="008540C2">
        <w:rPr>
          <w:rFonts w:ascii="PT Astra Serif" w:hAnsi="PT Astra Serif"/>
          <w:color w:val="000099"/>
          <w:szCs w:val="24"/>
        </w:rPr>
        <w:t>Югорска</w:t>
      </w:r>
      <w:proofErr w:type="spellEnd"/>
      <w:r w:rsidR="008540C2">
        <w:rPr>
          <w:rFonts w:ascii="PT Astra Serif" w:hAnsi="PT Astra Serif"/>
          <w:color w:val="000099"/>
          <w:szCs w:val="24"/>
        </w:rPr>
        <w:t xml:space="preserve"> на 2024</w:t>
      </w:r>
      <w:r w:rsidR="00BC3749" w:rsidRPr="00BC3749">
        <w:rPr>
          <w:rFonts w:ascii="PT Astra Serif" w:hAnsi="PT Astra Serif"/>
          <w:color w:val="000099"/>
          <w:szCs w:val="24"/>
        </w:rPr>
        <w:t xml:space="preserve">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AC7B6C">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w:t>
      </w:r>
      <w:r w:rsidRPr="00AC7B6C">
        <w:rPr>
          <w:rFonts w:ascii="PT Astra Serif" w:hAnsi="PT Astra Serif"/>
          <w:szCs w:val="24"/>
        </w:rPr>
        <w:lastRenderedPageBreak/>
        <w:t>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8540C2">
        <w:rPr>
          <w:rFonts w:ascii="PT Astra Serif" w:hAnsi="PT Astra Serif"/>
          <w:color w:val="000099"/>
          <w:szCs w:val="24"/>
        </w:rPr>
        <w:t>20</w:t>
      </w:r>
      <w:r w:rsidR="007B4672" w:rsidRPr="007B4672">
        <w:rPr>
          <w:rFonts w:ascii="PT Astra Serif" w:hAnsi="PT Astra Serif"/>
          <w:color w:val="000099"/>
          <w:szCs w:val="24"/>
        </w:rPr>
        <w:t>.</w:t>
      </w:r>
      <w:r w:rsidR="008540C2">
        <w:rPr>
          <w:rFonts w:ascii="PT Astra Serif" w:hAnsi="PT Astra Serif"/>
          <w:color w:val="000099"/>
          <w:szCs w:val="24"/>
        </w:rPr>
        <w:t>08.2024</w:t>
      </w:r>
      <w:r w:rsidR="007B4672" w:rsidRPr="007B4672">
        <w:rPr>
          <w:rFonts w:ascii="PT Astra Serif" w:hAnsi="PT Astra Serif"/>
          <w:color w:val="000099"/>
          <w:szCs w:val="24"/>
        </w:rPr>
        <w:t xml:space="preserve">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статьи </w:t>
      </w:r>
      <w:r w:rsidRPr="007E6CE3">
        <w:rPr>
          <w:rFonts w:ascii="PT Astra Serif" w:hAnsi="PT Astra Serif"/>
          <w:color w:val="auto"/>
          <w:szCs w:val="24"/>
        </w:rPr>
        <w:lastRenderedPageBreak/>
        <w:t>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975776">
        <w:rPr>
          <w:rFonts w:ascii="PT Astra Serif" w:hAnsi="PT Astra Serif"/>
          <w:color w:val="auto"/>
          <w:kern w:val="2"/>
          <w:szCs w:val="24"/>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w:t>
      </w:r>
      <w:r w:rsidRPr="00A047BC">
        <w:rPr>
          <w:rFonts w:ascii="PT Astra Serif" w:hAnsi="PT Astra Serif"/>
          <w:i/>
          <w:sz w:val="26"/>
          <w:szCs w:val="26"/>
        </w:rPr>
        <w:lastRenderedPageBreak/>
        <w:t xml:space="preserve">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530779">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lastRenderedPageBreak/>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Pr="00AC7B6C">
        <w:rPr>
          <w:rFonts w:ascii="PT Astra Serif" w:hAnsi="PT Astra Serif"/>
          <w:color w:val="auto"/>
          <w:szCs w:val="24"/>
        </w:rPr>
        <w:lastRenderedPageBreak/>
        <w:t>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w:t>
      </w:r>
      <w:r w:rsidR="00B40D90">
        <w:rPr>
          <w:rFonts w:ascii="PT Astra Serif" w:hAnsi="PT Astra Serif"/>
          <w:color w:val="auto"/>
          <w:szCs w:val="24"/>
        </w:rPr>
        <w:t>е может превышать 10 (десять</w:t>
      </w:r>
      <w:r w:rsidRPr="00AC7B6C">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AC7B6C" w:rsidRDefault="005F44A4" w:rsidP="00975776">
      <w:pP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w:t>
      </w:r>
      <w:r w:rsidR="00457731" w:rsidRPr="00AC7B6C">
        <w:rPr>
          <w:rFonts w:ascii="PT Astra Serif" w:hAnsi="PT Astra Serif"/>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6838BB">
        <w:rPr>
          <w:rFonts w:ascii="PT Astra Serif" w:hAnsi="PT Astra Serif" w:cs="Times New Roman"/>
          <w:szCs w:val="24"/>
        </w:rPr>
        <w:t>23</w:t>
      </w:r>
      <w:r w:rsidRPr="0075599C">
        <w:rPr>
          <w:rFonts w:ascii="PT Astra Serif" w:hAnsi="PT Astra Serif" w:cs="Times New Roman"/>
          <w:szCs w:val="24"/>
        </w:rPr>
        <w:t>.</w:t>
      </w:r>
      <w:r w:rsidR="00E94D2D">
        <w:rPr>
          <w:rFonts w:ascii="PT Astra Serif" w:hAnsi="PT Astra Serif" w:cs="Times New Roman"/>
          <w:szCs w:val="24"/>
        </w:rPr>
        <w:t>0</w:t>
      </w:r>
      <w:r w:rsidR="006838BB">
        <w:rPr>
          <w:rFonts w:ascii="PT Astra Serif" w:hAnsi="PT Astra Serif" w:cs="Times New Roman"/>
          <w:szCs w:val="24"/>
        </w:rPr>
        <w:t>9.2024</w:t>
      </w:r>
      <w:r w:rsidRPr="0075599C">
        <w:rPr>
          <w:rFonts w:ascii="PT Astra Serif" w:hAnsi="PT Astra Serif" w:cs="Times New Roman"/>
          <w:szCs w:val="24"/>
        </w:rPr>
        <w:t xml:space="preserve">.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w:t>
      </w:r>
      <w:r w:rsidR="00125F06">
        <w:rPr>
          <w:rFonts w:ascii="PT Astra Serif" w:hAnsi="PT Astra Serif" w:cs="Times New Roman"/>
          <w:szCs w:val="24"/>
        </w:rPr>
        <w:t>бязатель</w:t>
      </w:r>
      <w:proofErr w:type="gramStart"/>
      <w:r w:rsidR="00125F06">
        <w:rPr>
          <w:rFonts w:ascii="PT Astra Serif" w:hAnsi="PT Astra Serif" w:cs="Times New Roman"/>
          <w:szCs w:val="24"/>
        </w:rPr>
        <w:t>ств Ст</w:t>
      </w:r>
      <w:proofErr w:type="gramEnd"/>
      <w:r w:rsidR="00125F06">
        <w:rPr>
          <w:rFonts w:ascii="PT Astra Serif" w:hAnsi="PT Astra Serif" w:cs="Times New Roman"/>
          <w:szCs w:val="24"/>
        </w:rPr>
        <w:t>орон по Контракту.</w:t>
      </w:r>
      <w:r w:rsidRPr="0075599C">
        <w:rPr>
          <w:rFonts w:ascii="PT Astra Serif" w:hAnsi="PT Astra Serif" w:cs="Times New Roman"/>
          <w:szCs w:val="24"/>
        </w:rPr>
        <w:t xml:space="preserve"> </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AC7B6C">
        <w:rPr>
          <w:rFonts w:ascii="PT Astra Serif" w:hAnsi="PT Astra Serif"/>
          <w:color w:val="000000"/>
          <w:szCs w:val="24"/>
        </w:rPr>
        <w:lastRenderedPageBreak/>
        <w:t>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975776">
      <w:pPr>
        <w:pStyle w:val="ConsPlusNormal0"/>
        <w:widowControl/>
        <w:ind w:firstLine="0"/>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000877D8" w:rsidRPr="00AC7B6C">
        <w:rPr>
          <w:rFonts w:ascii="PT Astra Serif" w:hAnsi="PT Astra Serif"/>
          <w:szCs w:val="24"/>
        </w:rPr>
        <w:lastRenderedPageBreak/>
        <w:t>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006838BB">
              <w:rPr>
                <w:rFonts w:ascii="PT Astra Serif" w:hAnsi="PT Astra Serif"/>
                <w:bCs/>
                <w:spacing w:val="-1"/>
                <w:sz w:val="22"/>
                <w:szCs w:val="22"/>
              </w:rPr>
              <w:t xml:space="preserve"> </w:t>
            </w:r>
            <w:proofErr w:type="spellStart"/>
            <w:r w:rsidR="006838BB">
              <w:rPr>
                <w:rFonts w:ascii="PT Astra Serif" w:hAnsi="PT Astra Serif"/>
                <w:bCs/>
                <w:spacing w:val="-1"/>
                <w:sz w:val="22"/>
                <w:szCs w:val="22"/>
              </w:rPr>
              <w:t>л.с</w:t>
            </w:r>
            <w:proofErr w:type="spellEnd"/>
            <w:r w:rsidR="006838BB">
              <w:rPr>
                <w:rFonts w:ascii="PT Astra Serif" w:hAnsi="PT Astra Serif"/>
                <w:bCs/>
                <w:spacing w:val="-1"/>
                <w:sz w:val="22"/>
                <w:szCs w:val="22"/>
              </w:rPr>
              <w:t>.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CA6C00" w:rsidRDefault="004321D0" w:rsidP="00975776">
      <w:pPr>
        <w:pStyle w:val="10"/>
        <w:spacing w:after="0" w:line="240" w:lineRule="auto"/>
        <w:rPr>
          <w:rFonts w:ascii="PT Astra Serif" w:hAnsi="PT Astra Serif"/>
        </w:rPr>
      </w:pPr>
      <w:r>
        <w:rPr>
          <w:rFonts w:ascii="PT Astra Serif" w:hAnsi="PT Astra Serif"/>
        </w:rPr>
        <w:t>(</w:t>
      </w:r>
      <w:r w:rsidRPr="004321D0">
        <w:rPr>
          <w:rFonts w:ascii="PT Astra Serif" w:hAnsi="PT Astra Serif"/>
        </w:rPr>
        <w:t>ИКЗ №</w:t>
      </w:r>
      <w:r w:rsidR="00975776" w:rsidRPr="00975776">
        <w:rPr>
          <w:rFonts w:ascii="PT Astra Serif" w:hAnsi="PT Astra Serif"/>
        </w:rPr>
        <w:t>24 38622002368862201001 0227 001 0000 244</w:t>
      </w:r>
      <w:r>
        <w:rPr>
          <w:rFonts w:ascii="PT Astra Serif" w:hAnsi="PT Astra Serif"/>
        </w:rPr>
        <w:t xml:space="preserve">) </w:t>
      </w:r>
    </w:p>
    <w:p w:rsidR="00975776" w:rsidRPr="00975776" w:rsidRDefault="00975776" w:rsidP="00975776">
      <w:pPr>
        <w:pStyle w:val="10"/>
        <w:spacing w:after="0" w:line="240" w:lineRule="auto"/>
        <w:rPr>
          <w:rFonts w:ascii="PT Astra Serif" w:hAnsi="PT Astra Serif"/>
        </w:rPr>
      </w:pPr>
    </w:p>
    <w:p w:rsidR="00CA6C00" w:rsidRPr="00CA6C00" w:rsidRDefault="00CA6C00" w:rsidP="00CA6C00">
      <w:pPr>
        <w:pStyle w:val="10"/>
        <w:rPr>
          <w:rFonts w:ascii="PT Astra Serif" w:hAnsi="PT Astra Serif"/>
        </w:rPr>
      </w:pPr>
      <w:r w:rsidRPr="00CA6C00">
        <w:rPr>
          <w:rFonts w:ascii="PT Astra Serif" w:hAnsi="PT Astra Serif"/>
          <w:u w:val="single"/>
        </w:rPr>
        <w:t>Согласовано</w:t>
      </w:r>
      <w:r w:rsidRPr="00CA6C00">
        <w:rPr>
          <w:rFonts w:ascii="PT Astra Serif" w:hAnsi="PT Astra Serif"/>
        </w:rPr>
        <w:t>:</w:t>
      </w:r>
    </w:p>
    <w:p w:rsidR="00CA6C00" w:rsidRPr="00CA6C00" w:rsidRDefault="00CA6C00" w:rsidP="00CA6C00">
      <w:pPr>
        <w:pStyle w:val="10"/>
        <w:rPr>
          <w:rFonts w:ascii="PT Astra Serif" w:hAnsi="PT Astra Serif"/>
        </w:rPr>
      </w:pPr>
      <w:r w:rsidRPr="00CA6C00">
        <w:rPr>
          <w:rFonts w:ascii="PT Astra Serif" w:hAnsi="PT Astra Serif"/>
        </w:rPr>
        <w:t xml:space="preserve">Заведующий по АХР                                                           </w:t>
      </w:r>
      <w:r>
        <w:rPr>
          <w:rFonts w:ascii="PT Astra Serif" w:hAnsi="PT Astra Serif"/>
        </w:rPr>
        <w:t xml:space="preserve">                   </w:t>
      </w:r>
      <w:r w:rsidRPr="00CA6C00">
        <w:rPr>
          <w:rFonts w:ascii="PT Astra Serif" w:hAnsi="PT Astra Serif"/>
        </w:rPr>
        <w:t xml:space="preserve">                   Питиримов Д.В.</w:t>
      </w:r>
    </w:p>
    <w:p w:rsidR="00CA6C00" w:rsidRPr="00CA6C00" w:rsidRDefault="00CA6C00" w:rsidP="00CA6C00">
      <w:pPr>
        <w:pStyle w:val="10"/>
        <w:rPr>
          <w:rFonts w:ascii="PT Astra Serif" w:hAnsi="PT Astra Serif"/>
        </w:rPr>
      </w:pPr>
    </w:p>
    <w:p w:rsidR="00CA6C00" w:rsidRPr="00CA6C00" w:rsidRDefault="00CA6C00" w:rsidP="00CA6C00">
      <w:pPr>
        <w:pStyle w:val="10"/>
        <w:rPr>
          <w:rFonts w:ascii="PT Astra Serif" w:hAnsi="PT Astra Serif"/>
        </w:rPr>
      </w:pPr>
      <w:r w:rsidRPr="00CA6C00">
        <w:rPr>
          <w:rFonts w:ascii="PT Astra Serif" w:hAnsi="PT Astra Serif"/>
        </w:rPr>
        <w:t>Бухгалтерия (раздел 2, 3, 7, 8 Контракта):</w:t>
      </w:r>
      <w:r w:rsidRPr="00CA6C00">
        <w:rPr>
          <w:rFonts w:ascii="PT Astra Serif" w:hAnsi="PT Astra Serif"/>
        </w:rPr>
        <w:tab/>
      </w:r>
      <w:r w:rsidRPr="00CA6C00">
        <w:rPr>
          <w:rFonts w:ascii="PT Astra Serif" w:hAnsi="PT Astra Serif"/>
        </w:rPr>
        <w:tab/>
        <w:t xml:space="preserve">     </w:t>
      </w:r>
      <w:r>
        <w:rPr>
          <w:rFonts w:ascii="PT Astra Serif" w:hAnsi="PT Astra Serif"/>
        </w:rPr>
        <w:t xml:space="preserve">                          </w:t>
      </w:r>
      <w:r w:rsidRPr="00CA6C00">
        <w:rPr>
          <w:rFonts w:ascii="PT Astra Serif" w:hAnsi="PT Astra Serif"/>
        </w:rPr>
        <w:t xml:space="preserve">           Ермакова В.Н.</w:t>
      </w:r>
    </w:p>
    <w:p w:rsidR="00CA6C00" w:rsidRPr="00CA6C00" w:rsidRDefault="00CA6C00" w:rsidP="00CA6C00">
      <w:pPr>
        <w:pStyle w:val="10"/>
        <w:rPr>
          <w:rFonts w:ascii="PT Astra Serif" w:hAnsi="PT Astra Serif"/>
        </w:rPr>
      </w:pPr>
    </w:p>
    <w:p w:rsidR="00CA6C00" w:rsidRDefault="00CA6C00" w:rsidP="00975776">
      <w:pPr>
        <w:pStyle w:val="10"/>
        <w:rPr>
          <w:rFonts w:ascii="PT Astra Serif" w:hAnsi="PT Astra Serif"/>
        </w:rPr>
      </w:pPr>
      <w:r w:rsidRPr="00CA6C00">
        <w:rPr>
          <w:rFonts w:ascii="PT Astra Serif" w:hAnsi="PT Astra Serif"/>
        </w:rPr>
        <w:t>Юридическое управление:</w:t>
      </w:r>
      <w:r w:rsidRPr="00CA6C00">
        <w:rPr>
          <w:rFonts w:ascii="PT Astra Serif" w:hAnsi="PT Astra Serif"/>
        </w:rPr>
        <w:tab/>
      </w:r>
      <w:r w:rsidRPr="00CA6C00">
        <w:rPr>
          <w:rFonts w:ascii="PT Astra Serif" w:hAnsi="PT Astra Serif"/>
        </w:rPr>
        <w:tab/>
      </w:r>
      <w:r w:rsidRPr="00CA6C00">
        <w:rPr>
          <w:rFonts w:ascii="PT Astra Serif" w:hAnsi="PT Astra Serif"/>
        </w:rPr>
        <w:tab/>
      </w:r>
      <w:r w:rsidRPr="00CA6C00">
        <w:rPr>
          <w:rFonts w:ascii="PT Astra Serif" w:hAnsi="PT Astra Serif"/>
        </w:rPr>
        <w:tab/>
      </w:r>
      <w:r w:rsidRPr="00CA6C00">
        <w:rPr>
          <w:rFonts w:ascii="PT Astra Serif" w:hAnsi="PT Astra Serif"/>
        </w:rPr>
        <w:tab/>
        <w:t xml:space="preserve">              </w:t>
      </w:r>
      <w:r>
        <w:rPr>
          <w:rFonts w:ascii="PT Astra Serif" w:hAnsi="PT Astra Serif"/>
        </w:rPr>
        <w:t xml:space="preserve">                         </w:t>
      </w:r>
      <w:r w:rsidRPr="00CA6C00">
        <w:rPr>
          <w:rFonts w:ascii="PT Astra Serif" w:hAnsi="PT Astra Serif"/>
        </w:rPr>
        <w:t xml:space="preserve"> Плотников Д.С.</w:t>
      </w:r>
    </w:p>
    <w:p w:rsidR="00D91FE3" w:rsidRPr="00494F12" w:rsidRDefault="00F12074" w:rsidP="00CA6C00">
      <w:pPr>
        <w:pStyle w:val="10"/>
        <w:spacing w:after="0" w:line="240" w:lineRule="auto"/>
        <w:jc w:val="right"/>
        <w:rPr>
          <w:rFonts w:ascii="PT Astra Serif" w:hAnsi="PT Astra Serif"/>
          <w:szCs w:val="24"/>
        </w:rPr>
      </w:pPr>
      <w:r w:rsidRPr="00CA6A18">
        <w:rPr>
          <w:rFonts w:ascii="PT Astra Serif" w:hAnsi="PT Astra Serif"/>
          <w:szCs w:val="24"/>
        </w:rPr>
        <w:lastRenderedPageBreak/>
        <w:t>Приложение</w:t>
      </w:r>
      <w:r w:rsidR="00CA6A18" w:rsidRPr="00494F12">
        <w:rPr>
          <w:rFonts w:ascii="PT Astra Serif" w:hAnsi="PT Astra Serif"/>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FA2252" w:rsidRDefault="00FA2252" w:rsidP="0077542C">
      <w:pPr>
        <w:pStyle w:val="10"/>
        <w:spacing w:after="0" w:line="240" w:lineRule="auto"/>
        <w:ind w:firstLine="709"/>
        <w:rPr>
          <w:rFonts w:ascii="PT Astra Serif" w:hAnsi="PT Astra Serif"/>
          <w:szCs w:val="24"/>
          <w:u w:val="single"/>
        </w:rPr>
      </w:pPr>
    </w:p>
    <w:p w:rsidR="00125F06" w:rsidRDefault="002002C0" w:rsidP="00CA6C0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CA6C00" w:rsidRPr="00CA6C00" w:rsidRDefault="00CA6C00" w:rsidP="00CA6C00">
      <w:pPr>
        <w:jc w:val="center"/>
        <w:rPr>
          <w:rFonts w:ascii="PT Astra Serif" w:hAnsi="PT Astra Serif"/>
          <w:b/>
          <w:bCs/>
          <w:sz w:val="24"/>
          <w:szCs w:val="24"/>
        </w:rPr>
      </w:pPr>
    </w:p>
    <w:p w:rsidR="00125F06" w:rsidRPr="00125F06" w:rsidRDefault="00125F06" w:rsidP="00125F06">
      <w:pPr>
        <w:numPr>
          <w:ilvl w:val="0"/>
          <w:numId w:val="24"/>
        </w:numPr>
        <w:spacing w:after="60"/>
        <w:contextualSpacing/>
        <w:jc w:val="both"/>
        <w:rPr>
          <w:sz w:val="24"/>
          <w:szCs w:val="24"/>
        </w:rPr>
      </w:pPr>
      <w:r w:rsidRPr="00125F06">
        <w:rPr>
          <w:sz w:val="24"/>
          <w:szCs w:val="24"/>
        </w:rPr>
        <w:t>Место оказание услуг: Ханты-Мансийский автономный округ - Югра, г. Югорск, ул. 40 лет Победы, д. 11.</w:t>
      </w:r>
    </w:p>
    <w:p w:rsidR="00125F06" w:rsidRPr="00125F06" w:rsidRDefault="00125F06" w:rsidP="00125F06">
      <w:pPr>
        <w:numPr>
          <w:ilvl w:val="0"/>
          <w:numId w:val="24"/>
        </w:numPr>
        <w:spacing w:after="60"/>
        <w:contextualSpacing/>
        <w:jc w:val="both"/>
        <w:rPr>
          <w:sz w:val="24"/>
          <w:szCs w:val="24"/>
        </w:rPr>
      </w:pPr>
      <w:r w:rsidRPr="00125F06">
        <w:rPr>
          <w:sz w:val="24"/>
          <w:szCs w:val="24"/>
        </w:rPr>
        <w:t>Сроки оказание услуг: с момента заключени</w:t>
      </w:r>
      <w:r w:rsidR="00CA6C00">
        <w:rPr>
          <w:sz w:val="24"/>
          <w:szCs w:val="24"/>
        </w:rPr>
        <w:t>я муниципального контракта по 20.08.2024</w:t>
      </w:r>
      <w:r w:rsidRPr="00125F06">
        <w:rPr>
          <w:sz w:val="24"/>
          <w:szCs w:val="24"/>
        </w:rPr>
        <w:t xml:space="preserve"> (конкретная дата оказания услуги согласовывается Заказчиком и Исполнителем дополнительно в течение 7 (семи) рабочих дней после заключения контракта).</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Химическая чистка ковров осуществляется либо вывозом ковров в офис Исполнителя, либо в помещении Заказчика промышленным пылесосом, с помощью химических средств, шампуней. </w:t>
      </w:r>
    </w:p>
    <w:p w:rsidR="00125F06" w:rsidRPr="00125F06" w:rsidRDefault="00125F06" w:rsidP="00125F06">
      <w:pPr>
        <w:numPr>
          <w:ilvl w:val="0"/>
          <w:numId w:val="24"/>
        </w:numPr>
        <w:spacing w:after="60"/>
        <w:contextualSpacing/>
        <w:jc w:val="both"/>
        <w:rPr>
          <w:sz w:val="24"/>
          <w:szCs w:val="24"/>
        </w:rPr>
      </w:pPr>
      <w:r w:rsidRPr="00125F06">
        <w:rPr>
          <w:sz w:val="24"/>
          <w:szCs w:val="24"/>
        </w:rPr>
        <w:t>При приемке оказанных услуг ковры должны быть чистыми, без пятен, загрязнений, сухими, без запаха, без заломов.</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Оказание услуг обеспечиваются надлежащим качеством в соответствии с требованиями Национального стандарта РФ ГОСТ </w:t>
      </w:r>
      <w:proofErr w:type="gramStart"/>
      <w:r w:rsidRPr="00125F06">
        <w:rPr>
          <w:sz w:val="24"/>
          <w:szCs w:val="24"/>
        </w:rPr>
        <w:t>Р</w:t>
      </w:r>
      <w:proofErr w:type="gramEnd"/>
      <w:r w:rsidRPr="00125F06">
        <w:rPr>
          <w:sz w:val="24"/>
          <w:szCs w:val="24"/>
        </w:rPr>
        <w:t xml:space="preserve"> 51108-2016 «Услуги бытовые. Химическая чистка. Общие технические условия» (утв. Приказом Федерального агентства по техническому регулированию и метрологии от 11 октября 2016 г. N 1360-ст).</w:t>
      </w:r>
    </w:p>
    <w:p w:rsidR="00125F06" w:rsidRPr="00125F06" w:rsidRDefault="00125F06" w:rsidP="00125F06">
      <w:pPr>
        <w:numPr>
          <w:ilvl w:val="0"/>
          <w:numId w:val="24"/>
        </w:numPr>
        <w:spacing w:after="60"/>
        <w:contextualSpacing/>
        <w:jc w:val="both"/>
        <w:rPr>
          <w:sz w:val="24"/>
          <w:szCs w:val="24"/>
        </w:rPr>
      </w:pPr>
      <w:r w:rsidRPr="00125F06">
        <w:rPr>
          <w:sz w:val="24"/>
          <w:szCs w:val="24"/>
        </w:rPr>
        <w:t>Исполнитель обязан соблюдать меры по защите окружающей среды, правил охраны труда и техники безопасности.</w:t>
      </w:r>
    </w:p>
    <w:p w:rsidR="00125F06" w:rsidRPr="00125F06" w:rsidRDefault="00125F06" w:rsidP="00125F06">
      <w:pPr>
        <w:numPr>
          <w:ilvl w:val="0"/>
          <w:numId w:val="24"/>
        </w:numPr>
        <w:spacing w:after="60"/>
        <w:contextualSpacing/>
        <w:jc w:val="both"/>
        <w:rPr>
          <w:sz w:val="24"/>
          <w:szCs w:val="24"/>
        </w:rPr>
      </w:pPr>
      <w:r w:rsidRPr="00125F06">
        <w:rPr>
          <w:sz w:val="24"/>
          <w:szCs w:val="24"/>
        </w:rPr>
        <w:t>Наименование услуг:</w:t>
      </w:r>
    </w:p>
    <w:p w:rsidR="00125F06" w:rsidRPr="00125F06" w:rsidRDefault="00125F06" w:rsidP="00125F06">
      <w:pPr>
        <w:ind w:left="720"/>
        <w:contextualSpacing/>
        <w:jc w:val="both"/>
        <w:rPr>
          <w:sz w:val="24"/>
          <w:szCs w:val="24"/>
        </w:rPr>
      </w:pPr>
    </w:p>
    <w:tbl>
      <w:tblPr>
        <w:tblW w:w="94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536"/>
        <w:gridCol w:w="2251"/>
      </w:tblGrid>
      <w:tr w:rsidR="00125F06" w:rsidRPr="00125F06" w:rsidTr="00975776">
        <w:tc>
          <w:tcPr>
            <w:tcW w:w="2649" w:type="dxa"/>
          </w:tcPr>
          <w:p w:rsidR="00125F06" w:rsidRPr="00125F06" w:rsidRDefault="00125F06" w:rsidP="00125F06">
            <w:pPr>
              <w:jc w:val="center"/>
              <w:rPr>
                <w:b/>
                <w:sz w:val="24"/>
                <w:szCs w:val="24"/>
              </w:rPr>
            </w:pPr>
            <w:r w:rsidRPr="00125F06">
              <w:rPr>
                <w:b/>
                <w:sz w:val="24"/>
                <w:szCs w:val="24"/>
              </w:rPr>
              <w:t>ОКПД</w:t>
            </w:r>
            <w:proofErr w:type="gramStart"/>
            <w:r w:rsidRPr="00125F06">
              <w:rPr>
                <w:b/>
                <w:sz w:val="24"/>
                <w:szCs w:val="24"/>
              </w:rPr>
              <w:t>2</w:t>
            </w:r>
            <w:proofErr w:type="gramEnd"/>
          </w:p>
        </w:tc>
        <w:tc>
          <w:tcPr>
            <w:tcW w:w="4536" w:type="dxa"/>
            <w:shd w:val="clear" w:color="auto" w:fill="auto"/>
          </w:tcPr>
          <w:p w:rsidR="00125F06" w:rsidRPr="00125F06" w:rsidRDefault="00125F06" w:rsidP="00125F06">
            <w:pPr>
              <w:jc w:val="center"/>
              <w:rPr>
                <w:b/>
                <w:sz w:val="24"/>
                <w:szCs w:val="24"/>
              </w:rPr>
            </w:pPr>
            <w:r w:rsidRPr="00125F06">
              <w:rPr>
                <w:b/>
                <w:sz w:val="24"/>
                <w:szCs w:val="24"/>
              </w:rPr>
              <w:t>Наименование услуг</w:t>
            </w:r>
          </w:p>
        </w:tc>
        <w:tc>
          <w:tcPr>
            <w:tcW w:w="2251" w:type="dxa"/>
          </w:tcPr>
          <w:p w:rsidR="00125F06" w:rsidRPr="00125F06" w:rsidRDefault="00125F06" w:rsidP="00125F06">
            <w:pPr>
              <w:jc w:val="center"/>
              <w:rPr>
                <w:b/>
                <w:sz w:val="24"/>
                <w:szCs w:val="24"/>
              </w:rPr>
            </w:pPr>
            <w:r w:rsidRPr="00125F06">
              <w:rPr>
                <w:b/>
                <w:sz w:val="24"/>
                <w:szCs w:val="24"/>
              </w:rPr>
              <w:t>Площадь</w:t>
            </w:r>
          </w:p>
        </w:tc>
      </w:tr>
      <w:tr w:rsidR="00125F06" w:rsidRPr="00125F06" w:rsidTr="00975776">
        <w:tc>
          <w:tcPr>
            <w:tcW w:w="2649" w:type="dxa"/>
          </w:tcPr>
          <w:p w:rsidR="00125F06" w:rsidRPr="00125F06" w:rsidRDefault="00125F06" w:rsidP="00125F06">
            <w:pPr>
              <w:jc w:val="both"/>
              <w:rPr>
                <w:b/>
                <w:i/>
                <w:sz w:val="24"/>
                <w:szCs w:val="24"/>
              </w:rPr>
            </w:pPr>
          </w:p>
        </w:tc>
        <w:tc>
          <w:tcPr>
            <w:tcW w:w="4536" w:type="dxa"/>
            <w:shd w:val="clear" w:color="auto" w:fill="auto"/>
          </w:tcPr>
          <w:p w:rsidR="00125F06" w:rsidRPr="00125F06" w:rsidRDefault="00125F06" w:rsidP="00125F06">
            <w:pPr>
              <w:jc w:val="both"/>
              <w:rPr>
                <w:b/>
                <w:i/>
                <w:sz w:val="24"/>
                <w:szCs w:val="24"/>
              </w:rPr>
            </w:pPr>
          </w:p>
        </w:tc>
        <w:tc>
          <w:tcPr>
            <w:tcW w:w="2251" w:type="dxa"/>
          </w:tcPr>
          <w:p w:rsidR="00125F06" w:rsidRPr="00125F06" w:rsidRDefault="00125F06" w:rsidP="00125F06">
            <w:pPr>
              <w:jc w:val="both"/>
              <w:rPr>
                <w:sz w:val="24"/>
                <w:szCs w:val="24"/>
              </w:rPr>
            </w:pPr>
          </w:p>
        </w:tc>
      </w:tr>
      <w:tr w:rsidR="00CA6C00" w:rsidTr="00975776">
        <w:tc>
          <w:tcPr>
            <w:tcW w:w="2649" w:type="dxa"/>
            <w:tcBorders>
              <w:top w:val="single" w:sz="4" w:space="0" w:color="auto"/>
              <w:left w:val="single" w:sz="4" w:space="0" w:color="auto"/>
              <w:bottom w:val="single" w:sz="4" w:space="0" w:color="auto"/>
              <w:right w:val="single" w:sz="4" w:space="0" w:color="auto"/>
            </w:tcBorders>
          </w:tcPr>
          <w:p w:rsidR="00CA6C00" w:rsidRDefault="00CA6C00">
            <w:pPr>
              <w:pStyle w:val="afffb"/>
              <w:ind w:left="0"/>
              <w:jc w:val="both"/>
              <w:rPr>
                <w:b/>
                <w:i/>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CA6C00" w:rsidRDefault="00CA6C00">
            <w:pPr>
              <w:pStyle w:val="afffb"/>
              <w:ind w:left="0"/>
              <w:jc w:val="both"/>
              <w:rPr>
                <w:b/>
                <w:i/>
                <w:lang w:eastAsia="en-US"/>
              </w:rPr>
            </w:pPr>
            <w:r>
              <w:rPr>
                <w:b/>
                <w:i/>
                <w:lang w:eastAsia="en-US"/>
              </w:rPr>
              <w:t xml:space="preserve">Для администрации города </w:t>
            </w:r>
            <w:proofErr w:type="spellStart"/>
            <w:r>
              <w:rPr>
                <w:b/>
                <w:i/>
                <w:lang w:eastAsia="en-US"/>
              </w:rPr>
              <w:t>Югорска</w:t>
            </w:r>
            <w:proofErr w:type="spellEnd"/>
          </w:p>
        </w:tc>
        <w:tc>
          <w:tcPr>
            <w:tcW w:w="2251" w:type="dxa"/>
            <w:tcBorders>
              <w:top w:val="single" w:sz="4" w:space="0" w:color="auto"/>
              <w:left w:val="single" w:sz="4" w:space="0" w:color="auto"/>
              <w:bottom w:val="single" w:sz="4" w:space="0" w:color="auto"/>
              <w:right w:val="single" w:sz="4" w:space="0" w:color="auto"/>
            </w:tcBorders>
          </w:tcPr>
          <w:p w:rsidR="00CA6C00" w:rsidRDefault="00CA6C00">
            <w:pPr>
              <w:pStyle w:val="afffb"/>
              <w:ind w:left="0"/>
              <w:jc w:val="both"/>
              <w:rPr>
                <w:lang w:eastAsia="en-US"/>
              </w:rPr>
            </w:pPr>
          </w:p>
        </w:tc>
      </w:tr>
      <w:tr w:rsidR="00CA6C00" w:rsidTr="00975776">
        <w:tc>
          <w:tcPr>
            <w:tcW w:w="2649"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both"/>
              <w:rPr>
                <w:sz w:val="24"/>
                <w:szCs w:val="24"/>
                <w:lang w:eastAsia="en-US"/>
              </w:rPr>
            </w:pPr>
            <w:r>
              <w:rPr>
                <w:b/>
                <w:lang w:eastAsia="en-US"/>
              </w:rPr>
              <w:t>96.01.12.129</w:t>
            </w:r>
            <w:r>
              <w:rPr>
                <w:lang w:eastAsia="en-US"/>
              </w:rPr>
              <w:t xml:space="preserve"> (Услуги по химической чистке ковров и ковровых изделий)</w:t>
            </w:r>
          </w:p>
        </w:tc>
        <w:tc>
          <w:tcPr>
            <w:tcW w:w="4536"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both"/>
              <w:rPr>
                <w:sz w:val="24"/>
                <w:szCs w:val="24"/>
                <w:lang w:eastAsia="en-US"/>
              </w:rPr>
            </w:pPr>
            <w:r>
              <w:rPr>
                <w:lang w:eastAsia="en-US"/>
              </w:rPr>
              <w:t>Химическая чистка ковров</w:t>
            </w:r>
          </w:p>
        </w:tc>
        <w:tc>
          <w:tcPr>
            <w:tcW w:w="2251"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center"/>
              <w:rPr>
                <w:sz w:val="24"/>
                <w:szCs w:val="24"/>
                <w:vertAlign w:val="superscript"/>
                <w:lang w:eastAsia="en-US"/>
              </w:rPr>
            </w:pPr>
            <w:r>
              <w:rPr>
                <w:lang w:eastAsia="en-US"/>
              </w:rPr>
              <w:t>410 м</w:t>
            </w:r>
            <w:proofErr w:type="gramStart"/>
            <w:r>
              <w:rPr>
                <w:vertAlign w:val="superscript"/>
                <w:lang w:eastAsia="en-US"/>
              </w:rPr>
              <w:t>2</w:t>
            </w:r>
            <w:proofErr w:type="gramEnd"/>
          </w:p>
        </w:tc>
      </w:tr>
      <w:tr w:rsidR="00CA6C00" w:rsidTr="00975776">
        <w:tc>
          <w:tcPr>
            <w:tcW w:w="2649"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both"/>
              <w:rPr>
                <w:b/>
                <w:sz w:val="24"/>
                <w:szCs w:val="24"/>
                <w:lang w:eastAsia="en-US"/>
              </w:rPr>
            </w:pPr>
            <w:r>
              <w:rPr>
                <w:b/>
                <w:lang w:eastAsia="en-US"/>
              </w:rPr>
              <w:t>96.01.12.138  (</w:t>
            </w:r>
            <w:r>
              <w:rPr>
                <w:lang w:eastAsia="en-US"/>
              </w:rPr>
              <w:t>Услуги по химической чистке гардинно-тюлевых изделий).</w:t>
            </w:r>
          </w:p>
        </w:tc>
        <w:tc>
          <w:tcPr>
            <w:tcW w:w="4536"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both"/>
              <w:rPr>
                <w:sz w:val="24"/>
                <w:szCs w:val="24"/>
                <w:lang w:eastAsia="en-US"/>
              </w:rPr>
            </w:pPr>
            <w:r>
              <w:rPr>
                <w:lang w:eastAsia="en-US"/>
              </w:rPr>
              <w:t>Химическая чистка портьер и стирка тюлей</w:t>
            </w:r>
          </w:p>
        </w:tc>
        <w:tc>
          <w:tcPr>
            <w:tcW w:w="2251" w:type="dxa"/>
            <w:tcBorders>
              <w:top w:val="single" w:sz="4" w:space="0" w:color="auto"/>
              <w:left w:val="single" w:sz="4" w:space="0" w:color="auto"/>
              <w:bottom w:val="single" w:sz="4" w:space="0" w:color="auto"/>
              <w:right w:val="single" w:sz="4" w:space="0" w:color="auto"/>
            </w:tcBorders>
            <w:hideMark/>
          </w:tcPr>
          <w:p w:rsidR="00CA6C00" w:rsidRDefault="00CA6C00">
            <w:pPr>
              <w:spacing w:after="60" w:line="276" w:lineRule="auto"/>
              <w:jc w:val="center"/>
              <w:rPr>
                <w:sz w:val="24"/>
                <w:szCs w:val="24"/>
                <w:lang w:eastAsia="en-US"/>
              </w:rPr>
            </w:pPr>
            <w:r>
              <w:rPr>
                <w:lang w:eastAsia="en-US"/>
              </w:rPr>
              <w:t>80 м</w:t>
            </w:r>
            <w:proofErr w:type="gramStart"/>
            <w:r>
              <w:rPr>
                <w:lang w:eastAsia="en-US"/>
              </w:rPr>
              <w:t>2</w:t>
            </w:r>
            <w:proofErr w:type="gramEnd"/>
          </w:p>
        </w:tc>
      </w:tr>
    </w:tbl>
    <w:p w:rsidR="00125F06" w:rsidRPr="00125F06" w:rsidRDefault="00125F06" w:rsidP="00125F06">
      <w:pPr>
        <w:ind w:left="720"/>
        <w:jc w:val="both"/>
        <w:rPr>
          <w:sz w:val="24"/>
          <w:szCs w:val="24"/>
        </w:rPr>
      </w:pPr>
    </w:p>
    <w:p w:rsidR="00FA2252" w:rsidRDefault="00FA2252" w:rsidP="00CA6C00">
      <w:pPr>
        <w:pStyle w:val="10"/>
        <w:spacing w:after="0" w:line="240" w:lineRule="auto"/>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CA6C00" w:rsidRDefault="00CA6C00" w:rsidP="00DA06F3">
      <w:pPr>
        <w:widowControl w:val="0"/>
        <w:autoSpaceDE w:val="0"/>
        <w:autoSpaceDN w:val="0"/>
        <w:adjustRightInd w:val="0"/>
        <w:ind w:firstLine="567"/>
        <w:jc w:val="right"/>
        <w:rPr>
          <w:rFonts w:ascii="PT Astra Serif" w:hAnsi="PT Astra Serif"/>
          <w:sz w:val="24"/>
          <w:szCs w:val="24"/>
        </w:rPr>
      </w:pPr>
    </w:p>
    <w:p w:rsidR="00CA6C00" w:rsidRDefault="00CA6C00" w:rsidP="00DA06F3">
      <w:pPr>
        <w:widowControl w:val="0"/>
        <w:autoSpaceDE w:val="0"/>
        <w:autoSpaceDN w:val="0"/>
        <w:adjustRightInd w:val="0"/>
        <w:ind w:firstLine="567"/>
        <w:jc w:val="right"/>
        <w:rPr>
          <w:rFonts w:ascii="PT Astra Serif" w:hAnsi="PT Astra Serif"/>
          <w:sz w:val="24"/>
          <w:szCs w:val="24"/>
        </w:rPr>
      </w:pPr>
    </w:p>
    <w:p w:rsidR="00CA6C00" w:rsidRDefault="00CA6C00" w:rsidP="00975776">
      <w:pPr>
        <w:widowControl w:val="0"/>
        <w:autoSpaceDE w:val="0"/>
        <w:autoSpaceDN w:val="0"/>
        <w:adjustRightInd w:val="0"/>
        <w:rPr>
          <w:rFonts w:ascii="PT Astra Serif" w:hAnsi="PT Astra Serif"/>
          <w:sz w:val="24"/>
          <w:szCs w:val="24"/>
        </w:rPr>
      </w:pPr>
      <w:bookmarkStart w:id="4" w:name="_GoBack"/>
      <w:bookmarkEnd w:id="4"/>
    </w:p>
    <w:p w:rsidR="00CA6C00" w:rsidRDefault="00CA6C0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975776">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6A" w:rsidRDefault="003A716A">
      <w:r>
        <w:separator/>
      </w:r>
    </w:p>
  </w:endnote>
  <w:endnote w:type="continuationSeparator" w:id="0">
    <w:p w:rsidR="003A716A" w:rsidRDefault="003A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75776">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6A" w:rsidRDefault="003A716A">
      <w:r>
        <w:separator/>
      </w:r>
    </w:p>
  </w:footnote>
  <w:footnote w:type="continuationSeparator" w:id="0">
    <w:p w:rsidR="003A716A" w:rsidRDefault="003A716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5F06"/>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16A"/>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38BB"/>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0C2"/>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5776"/>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0D90"/>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A6C00"/>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84DEE"/>
    <w:rsid w:val="00D902B6"/>
    <w:rsid w:val="00D91FE3"/>
    <w:rsid w:val="00D9296F"/>
    <w:rsid w:val="00D92D13"/>
    <w:rsid w:val="00D94177"/>
    <w:rsid w:val="00D96ABB"/>
    <w:rsid w:val="00DA06F3"/>
    <w:rsid w:val="00DA0F18"/>
    <w:rsid w:val="00DA14E9"/>
    <w:rsid w:val="00DA2E17"/>
    <w:rsid w:val="00DA615D"/>
    <w:rsid w:val="00DB492F"/>
    <w:rsid w:val="00DC2D5A"/>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9864">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4ACA-3429-4F7B-8A80-4BCD1B03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Pages>
  <Words>6981</Words>
  <Characters>39797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34</cp:revision>
  <cp:lastPrinted>2023-05-04T11:46:00Z</cp:lastPrinted>
  <dcterms:created xsi:type="dcterms:W3CDTF">2022-06-20T06:41:00Z</dcterms:created>
  <dcterms:modified xsi:type="dcterms:W3CDTF">2024-07-03T10:59:00Z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